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8A7" w:rsidRDefault="00BD38A7" w:rsidP="00BD38A7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  <w:bookmarkStart w:id="0" w:name="_GoBack"/>
      <w:bookmarkEnd w:id="0"/>
      <w:r>
        <w:rPr>
          <w:lang w:val="de-DE"/>
        </w:rPr>
        <w:t xml:space="preserve">    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8C8788F" wp14:editId="3DC609F9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1797164" wp14:editId="5B0004A9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4" name="Picture 4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8A7" w:rsidRDefault="00BD38A7" w:rsidP="00BD38A7">
      <w:pPr>
        <w:rPr>
          <w:rFonts w:ascii="Georgia" w:hAnsi="Georgia" w:cs="Georgia"/>
          <w:sz w:val="20"/>
          <w:lang w:val="de-DE"/>
        </w:rPr>
      </w:pPr>
      <w:r>
        <w:rPr>
          <w:sz w:val="20"/>
          <w:lang w:val="de-DE"/>
        </w:rPr>
        <w:t xml:space="preserve">   </w:t>
      </w:r>
      <w:r>
        <w:rPr>
          <w:rFonts w:ascii="Georgia" w:hAnsi="Georgia" w:cs="Georgia"/>
          <w:sz w:val="20"/>
          <w:lang w:val="de-DE"/>
        </w:rPr>
        <w:t>REPUBLIKA HRVATSKA</w:t>
      </w:r>
    </w:p>
    <w:p w:rsidR="00BD38A7" w:rsidRDefault="00BD38A7" w:rsidP="00BD38A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MEĐIMURSKA ŽUPANIJA          </w:t>
      </w:r>
    </w:p>
    <w:p w:rsidR="00BD38A7" w:rsidRDefault="00BD38A7" w:rsidP="00BD38A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        </w:t>
      </w:r>
      <w:proofErr w:type="gramStart"/>
      <w:r>
        <w:rPr>
          <w:rFonts w:ascii="Georgia" w:hAnsi="Georgia" w:cs="Georgia"/>
          <w:sz w:val="20"/>
          <w:lang w:val="de-DE"/>
        </w:rPr>
        <w:t>OPĆINA  DEKANOVEC</w:t>
      </w:r>
      <w:proofErr w:type="gramEnd"/>
      <w:r>
        <w:rPr>
          <w:rFonts w:ascii="Georgia" w:hAnsi="Georgia" w:cs="Georgia"/>
          <w:sz w:val="20"/>
          <w:lang w:val="de-DE"/>
        </w:rPr>
        <w:t xml:space="preserve"> </w:t>
      </w:r>
    </w:p>
    <w:p w:rsidR="00BD38A7" w:rsidRDefault="00BD38A7" w:rsidP="00BD38A7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        OPĆINSKI NAČELNIK</w:t>
      </w:r>
    </w:p>
    <w:p w:rsidR="00BD38A7" w:rsidRDefault="00BD38A7" w:rsidP="00BD38A7">
      <w:pPr>
        <w:pStyle w:val="BodyText3"/>
        <w:jc w:val="both"/>
        <w:rPr>
          <w:rFonts w:ascii="Times New Roman" w:hAnsi="Times New Roman"/>
          <w:sz w:val="24"/>
        </w:rPr>
      </w:pPr>
    </w:p>
    <w:p w:rsidR="00BD38A7" w:rsidRDefault="00BD38A7" w:rsidP="00BD38A7">
      <w:pPr>
        <w:jc w:val="both"/>
      </w:pPr>
      <w:r>
        <w:t xml:space="preserve">Na temelju članka 64. Zakona o zaštiti okoliša (NN 80/13, 153/13, 78/15, 12/18 i 118/18), članka 33. Uredbe o strateškoj procjeni utjecaja strategije, plana i programa na okoliš (NN 3/17) i članka 44. Statuta Općine Dekanovec </w:t>
      </w:r>
      <w:r w:rsidRPr="00A22377">
        <w:t>(„Službeni glasnik Međimurske županije“ broj</w:t>
      </w:r>
      <w:r>
        <w:t xml:space="preserve"> 3/18) načelnik Općine Dekanovec, dana 11. lipnja 2019. donosi</w:t>
      </w:r>
    </w:p>
    <w:p w:rsidR="00BD38A7" w:rsidRPr="00A22377" w:rsidRDefault="00BD38A7" w:rsidP="00BD38A7">
      <w:pPr>
        <w:jc w:val="center"/>
        <w:rPr>
          <w:b/>
          <w:sz w:val="28"/>
          <w:szCs w:val="28"/>
        </w:rPr>
      </w:pPr>
      <w:r w:rsidRPr="00A2237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A22377">
        <w:rPr>
          <w:b/>
          <w:sz w:val="28"/>
          <w:szCs w:val="28"/>
        </w:rPr>
        <w:t>U</w:t>
      </w:r>
    </w:p>
    <w:p w:rsidR="00BD38A7" w:rsidRDefault="00BD38A7" w:rsidP="00BD38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kojom se utvrđuje da nije potrebno provesti stratešku procjenu utjecaja na okoliš za </w:t>
      </w:r>
      <w:r w:rsidRPr="00A22377">
        <w:rPr>
          <w:b/>
          <w:sz w:val="24"/>
          <w:szCs w:val="24"/>
        </w:rPr>
        <w:t>Strate</w:t>
      </w:r>
      <w:r>
        <w:rPr>
          <w:b/>
          <w:sz w:val="24"/>
          <w:szCs w:val="24"/>
        </w:rPr>
        <w:t>ški razvojni program Općine Dekanovec</w:t>
      </w:r>
      <w:r w:rsidRPr="00A22377">
        <w:rPr>
          <w:b/>
          <w:sz w:val="24"/>
          <w:szCs w:val="24"/>
        </w:rPr>
        <w:t xml:space="preserve"> za razdoblje 201</w:t>
      </w:r>
      <w:r>
        <w:rPr>
          <w:b/>
          <w:sz w:val="24"/>
          <w:szCs w:val="24"/>
        </w:rPr>
        <w:t>9</w:t>
      </w:r>
      <w:r w:rsidRPr="00A22377">
        <w:rPr>
          <w:b/>
          <w:sz w:val="24"/>
          <w:szCs w:val="24"/>
        </w:rPr>
        <w:t>. – 202</w:t>
      </w:r>
      <w:r>
        <w:rPr>
          <w:b/>
          <w:sz w:val="24"/>
          <w:szCs w:val="24"/>
        </w:rPr>
        <w:t>7</w:t>
      </w:r>
      <w:r w:rsidRPr="00A223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godine</w:t>
      </w:r>
    </w:p>
    <w:p w:rsidR="00BD38A7" w:rsidRPr="00A22377" w:rsidRDefault="00BD38A7" w:rsidP="00BD38A7">
      <w:pPr>
        <w:jc w:val="center"/>
        <w:rPr>
          <w:b/>
          <w:sz w:val="24"/>
          <w:szCs w:val="24"/>
        </w:rPr>
      </w:pPr>
      <w:r w:rsidRPr="00A22377">
        <w:rPr>
          <w:b/>
          <w:sz w:val="24"/>
          <w:szCs w:val="24"/>
        </w:rPr>
        <w:t xml:space="preserve"> (dalje: Strat</w:t>
      </w:r>
      <w:r>
        <w:rPr>
          <w:b/>
          <w:sz w:val="24"/>
          <w:szCs w:val="24"/>
        </w:rPr>
        <w:t>eški razvojni program</w:t>
      </w:r>
      <w:r w:rsidRPr="00A22377">
        <w:rPr>
          <w:b/>
          <w:sz w:val="24"/>
          <w:szCs w:val="24"/>
        </w:rPr>
        <w:t>)</w:t>
      </w:r>
    </w:p>
    <w:p w:rsidR="00BD38A7" w:rsidRPr="006A0875" w:rsidRDefault="00BD38A7" w:rsidP="00BD38A7">
      <w:pPr>
        <w:jc w:val="center"/>
        <w:rPr>
          <w:b/>
        </w:rPr>
      </w:pPr>
      <w:r w:rsidRPr="006A0875">
        <w:rPr>
          <w:b/>
        </w:rPr>
        <w:t>I.</w:t>
      </w:r>
    </w:p>
    <w:p w:rsidR="00BD38A7" w:rsidRDefault="00BD38A7" w:rsidP="00BD38A7">
      <w:pPr>
        <w:jc w:val="both"/>
      </w:pPr>
      <w:r>
        <w:t>Dana 24. travnja 2019. godine načelnik Općine Dekanovec donio je Odluko o započinjanju postupka ocjene o potrebi strateške procjene utjecaja na okoliš za donošenje Strateškog razvojnog programa Općine Dekanovec za razdoblje 2019.-2027. godine (u daljnjem tekstu: „Strateški razvojni program“ – Odluka, KLASA:351-03/19-01/01, URBROJ:2109/20-03-19-03) prema kojoj je Jedinstveni upravni odjel Općine Dekanovec (u daljnjem tekstu: Odjel) proveo postupak Ocjene o potrebi strateške procjene utjecaja na okoliš za Strategiju razvoja.</w:t>
      </w:r>
    </w:p>
    <w:p w:rsidR="00BD38A7" w:rsidRDefault="00BD38A7" w:rsidP="00BD38A7">
      <w:pPr>
        <w:jc w:val="both"/>
      </w:pPr>
      <w:r>
        <w:t>U postupku Ocjene o potrebi strateške procjene utvrđeno je da Strateški razvojni program Općine Dekanovec za razdoblje 2019.-2027. godine neće  imati  značajan utjecaj na okoliš, na osnovi čega se utvrđuje da nije potrebno provesti stratešku procjenu utjecaja na okoliš.</w:t>
      </w:r>
    </w:p>
    <w:p w:rsidR="00BD38A7" w:rsidRPr="002027CA" w:rsidRDefault="00BD38A7" w:rsidP="00BD38A7">
      <w:pPr>
        <w:jc w:val="center"/>
        <w:rPr>
          <w:b/>
        </w:rPr>
      </w:pPr>
      <w:r w:rsidRPr="002027CA">
        <w:rPr>
          <w:b/>
        </w:rPr>
        <w:t>II.</w:t>
      </w:r>
    </w:p>
    <w:p w:rsidR="00BD38A7" w:rsidRDefault="00BD38A7" w:rsidP="00BD38A7">
      <w:pPr>
        <w:ind w:right="203"/>
        <w:jc w:val="both"/>
      </w:pPr>
      <w:r>
        <w:t>Razlozi izrade Strateškog razvojnog programa Općine Dekanovec su sljedeći:</w:t>
      </w:r>
    </w:p>
    <w:p w:rsidR="00BD38A7" w:rsidRDefault="00BD38A7" w:rsidP="00BD38A7">
      <w:pPr>
        <w:numPr>
          <w:ilvl w:val="0"/>
          <w:numId w:val="10"/>
        </w:numPr>
        <w:spacing w:after="0" w:line="240" w:lineRule="auto"/>
        <w:ind w:right="203" w:firstLine="555"/>
        <w:jc w:val="both"/>
      </w:pPr>
      <w:r>
        <w:t xml:space="preserve"> Strateški razvojni program jedinice lokalne samouprave predstavlja strateški razvojni dokument jedinice lokalne samouprave; </w:t>
      </w:r>
    </w:p>
    <w:p w:rsidR="00BD38A7" w:rsidRDefault="00BD38A7" w:rsidP="00BD38A7">
      <w:pPr>
        <w:numPr>
          <w:ilvl w:val="0"/>
          <w:numId w:val="10"/>
        </w:numPr>
        <w:spacing w:after="0" w:line="240" w:lineRule="auto"/>
        <w:ind w:right="203" w:firstLine="555"/>
        <w:jc w:val="both"/>
      </w:pPr>
      <w:r>
        <w:t xml:space="preserve"> Strateškim razvojnim programom se definiraju razvojni pravci djelovanja Općine kako bi se doprinijelo bržemu, učinkovitijem i svrsishodnijem upravljanju i razvoj u jedne zajednice;</w:t>
      </w:r>
    </w:p>
    <w:p w:rsidR="00BD38A7" w:rsidRDefault="00BD38A7" w:rsidP="00BD38A7">
      <w:pPr>
        <w:numPr>
          <w:ilvl w:val="0"/>
          <w:numId w:val="10"/>
        </w:numPr>
        <w:spacing w:after="0" w:line="240" w:lineRule="auto"/>
        <w:ind w:right="203" w:firstLine="555"/>
        <w:jc w:val="both"/>
      </w:pPr>
      <w:r>
        <w:t xml:space="preserve"> Strateškim razvojnim programom se lakše, učinkovitije i transparentnije definiraju razvojni projekti koji se financiraju iz proračuna Općine, odnosno transparentnije i učinkovitije se prati utrošak proračunskih sredstava Općine;</w:t>
      </w:r>
    </w:p>
    <w:p w:rsidR="00BD38A7" w:rsidRDefault="00BD38A7" w:rsidP="00BD38A7">
      <w:pPr>
        <w:numPr>
          <w:ilvl w:val="0"/>
          <w:numId w:val="10"/>
        </w:numPr>
        <w:spacing w:after="0" w:line="240" w:lineRule="auto"/>
        <w:ind w:right="203" w:firstLine="555"/>
        <w:jc w:val="both"/>
      </w:pPr>
      <w:r>
        <w:t>Strateški razvojni program je osnova za buduće korištenje bespovratnih sredstava Europske unije u programskom razdoblju 2019.-2027. godine (usklađena sa nacionalnim strateškim dokumentima te Županjskim razvojnim dokumentima na regionalnoj razini);</w:t>
      </w:r>
    </w:p>
    <w:p w:rsidR="00BD38A7" w:rsidRDefault="00BD38A7" w:rsidP="00BD38A7">
      <w:pPr>
        <w:jc w:val="both"/>
      </w:pPr>
    </w:p>
    <w:p w:rsidR="00BD38A7" w:rsidRDefault="00BD38A7" w:rsidP="00BD38A7">
      <w:pPr>
        <w:jc w:val="both"/>
      </w:pPr>
      <w:r>
        <w:t>Strateški razvojni program Općine Dekanovec za razdoblje 2019.-2027. godine izraditi će se kao temeljni razvojni dokument Općine Dekanovec.</w:t>
      </w:r>
    </w:p>
    <w:p w:rsidR="00BD38A7" w:rsidRPr="00337793" w:rsidRDefault="00BD38A7" w:rsidP="00BD38A7">
      <w:pPr>
        <w:jc w:val="center"/>
        <w:rPr>
          <w:b/>
        </w:rPr>
      </w:pPr>
      <w:r w:rsidRPr="00337793">
        <w:rPr>
          <w:b/>
        </w:rPr>
        <w:t>I</w:t>
      </w:r>
      <w:r>
        <w:rPr>
          <w:b/>
        </w:rPr>
        <w:t>II</w:t>
      </w:r>
      <w:r w:rsidRPr="00337793">
        <w:rPr>
          <w:b/>
        </w:rPr>
        <w:t>.</w:t>
      </w:r>
    </w:p>
    <w:p w:rsidR="00BD38A7" w:rsidRDefault="00BD38A7" w:rsidP="00BD38A7">
      <w:pPr>
        <w:jc w:val="both"/>
      </w:pPr>
      <w:r>
        <w:t>U cilju utvrđivanja vjerojatno značajnog utjecaja na okoliš odnosno ocjene o potrebi strateške procjene utjecaja na okoliš za Strateški razvojni program  Odjel je zatražio mišljenja tijela određena posebnim propisima utvrđena točkom IV. Odluke o započinjanju postupka ocjene o potrebi strateške procjene utjecaja na okoliš za donošenje Strateškog razvojnog programa Općine Dekanovec za razdoblje 2019.-2027. godine.</w:t>
      </w:r>
    </w:p>
    <w:p w:rsidR="00BD38A7" w:rsidRDefault="00BD38A7" w:rsidP="00BD38A7">
      <w:pPr>
        <w:jc w:val="both"/>
      </w:pPr>
    </w:p>
    <w:p w:rsidR="00BD38A7" w:rsidRDefault="00BD38A7" w:rsidP="00BD38A7">
      <w:pPr>
        <w:jc w:val="both"/>
      </w:pPr>
    </w:p>
    <w:p w:rsidR="00BD38A7" w:rsidRDefault="00BD38A7" w:rsidP="00BD38A7">
      <w:pPr>
        <w:jc w:val="both"/>
      </w:pPr>
      <w:r>
        <w:t>Po dostavljenim zahtjevima zaprimljena su mišljenja navedena u tablici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8A7" w:rsidTr="00194C7F">
        <w:tc>
          <w:tcPr>
            <w:tcW w:w="3020" w:type="dxa"/>
          </w:tcPr>
          <w:p w:rsidR="00BD38A7" w:rsidRDefault="00BD38A7" w:rsidP="00194C7F">
            <w:pPr>
              <w:jc w:val="both"/>
            </w:pPr>
            <w:r>
              <w:t>JAVNOPRAVNO TIJELO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KLASA/URBROJ/DATUM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MIŠLJENJE</w:t>
            </w:r>
          </w:p>
        </w:tc>
      </w:tr>
      <w:tr w:rsidR="00BD38A7" w:rsidTr="00194C7F">
        <w:tc>
          <w:tcPr>
            <w:tcW w:w="3020" w:type="dxa"/>
          </w:tcPr>
          <w:p w:rsidR="00BD38A7" w:rsidRDefault="00BD38A7" w:rsidP="00194C7F">
            <w:pPr>
              <w:jc w:val="both"/>
            </w:pPr>
            <w:r>
              <w:t>Upravni odjel za prostorno uređenje, gradnju i zaštitu okoliša Međimurske županije – Odsjek za zaštitu okoliša i prirode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KLASA:351-03/19-03/17</w:t>
            </w:r>
          </w:p>
          <w:p w:rsidR="00BD38A7" w:rsidRDefault="00BD38A7" w:rsidP="00194C7F">
            <w:pPr>
              <w:jc w:val="both"/>
            </w:pPr>
            <w:r>
              <w:t>URBROJ:2109/1-09-3/01-19-04 07. svibnja 2019. godine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-da je Strateški razvojni program Općine Dekanovec za razdoblje od 2019.-2027. godine prihvatljiv za ekološku mrežu i</w:t>
            </w:r>
          </w:p>
          <w:p w:rsidR="00BD38A7" w:rsidRDefault="00BD38A7" w:rsidP="00194C7F">
            <w:pPr>
              <w:jc w:val="both"/>
            </w:pPr>
            <w:r>
              <w:t>-da za Strateški razvojni program Općine Dekanovec za razdoblje od 2019.-2027. godine ne treba provesti postupak strateške procjene utjecaja na okoliš</w:t>
            </w:r>
          </w:p>
        </w:tc>
      </w:tr>
      <w:tr w:rsidR="00BD38A7" w:rsidTr="00194C7F">
        <w:tc>
          <w:tcPr>
            <w:tcW w:w="3020" w:type="dxa"/>
          </w:tcPr>
          <w:p w:rsidR="00BD38A7" w:rsidRDefault="00BD38A7" w:rsidP="00194C7F">
            <w:pPr>
              <w:jc w:val="both"/>
            </w:pPr>
            <w:r>
              <w:t>Hrvatske šume d.o.o., Uprava šuma podružnica Koprivnica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KLASA:DIR/19-0v1/2127</w:t>
            </w:r>
          </w:p>
          <w:p w:rsidR="00BD38A7" w:rsidRDefault="00BD38A7" w:rsidP="00194C7F">
            <w:pPr>
              <w:jc w:val="both"/>
            </w:pPr>
            <w:r>
              <w:t>URBROJ:06-00-06/02-19</w:t>
            </w:r>
          </w:p>
          <w:p w:rsidR="00BD38A7" w:rsidRDefault="00BD38A7" w:rsidP="00194C7F">
            <w:pPr>
              <w:jc w:val="both"/>
            </w:pPr>
            <w:r>
              <w:t xml:space="preserve"> 07. svibnja 2019. godine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-nije potrebno provođenje strateške procjene utjecaja na okoliš</w:t>
            </w:r>
          </w:p>
        </w:tc>
      </w:tr>
      <w:tr w:rsidR="00BD38A7" w:rsidTr="00194C7F">
        <w:tc>
          <w:tcPr>
            <w:tcW w:w="3020" w:type="dxa"/>
          </w:tcPr>
          <w:p w:rsidR="00BD38A7" w:rsidRDefault="00BD38A7" w:rsidP="00194C7F">
            <w:pPr>
              <w:jc w:val="both"/>
            </w:pPr>
            <w:r>
              <w:t xml:space="preserve">Hrvatske vode, </w:t>
            </w:r>
            <w:proofErr w:type="spellStart"/>
            <w:r>
              <w:t>Vodnogospodarski</w:t>
            </w:r>
            <w:proofErr w:type="spellEnd"/>
            <w:r>
              <w:t xml:space="preserve"> odjel za Muru i gornju Dravu, Varaždin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KLASA:351—03/19-01/0000117</w:t>
            </w:r>
          </w:p>
          <w:p w:rsidR="00BD38A7" w:rsidRDefault="00BD38A7" w:rsidP="00194C7F">
            <w:pPr>
              <w:jc w:val="both"/>
            </w:pPr>
            <w:r>
              <w:t>URBROJ:374-26-1-19-2</w:t>
            </w:r>
          </w:p>
          <w:p w:rsidR="00BD38A7" w:rsidRDefault="00BD38A7" w:rsidP="00194C7F">
            <w:pPr>
              <w:jc w:val="both"/>
            </w:pPr>
            <w:r>
              <w:t>05. 06.2019. godine</w:t>
            </w:r>
          </w:p>
        </w:tc>
        <w:tc>
          <w:tcPr>
            <w:tcW w:w="3021" w:type="dxa"/>
          </w:tcPr>
          <w:p w:rsidR="00BD38A7" w:rsidRDefault="00BD38A7" w:rsidP="00194C7F">
            <w:pPr>
              <w:jc w:val="both"/>
            </w:pPr>
            <w:r>
              <w:t>- ne postoji potreba za izradom zasebne Strateške procjene utjecaja na okoliš za donošenje Strateškog razvojnog programa Općine Dekanovec za razbolje 2019.-2027.</w:t>
            </w:r>
          </w:p>
        </w:tc>
      </w:tr>
    </w:tbl>
    <w:p w:rsidR="00BD38A7" w:rsidRDefault="00BD38A7" w:rsidP="00BD38A7">
      <w:pPr>
        <w:jc w:val="both"/>
      </w:pPr>
    </w:p>
    <w:p w:rsidR="00BD38A7" w:rsidRPr="002027CA" w:rsidRDefault="00BD38A7" w:rsidP="00BD38A7">
      <w:pPr>
        <w:jc w:val="center"/>
        <w:rPr>
          <w:b/>
        </w:rPr>
      </w:pPr>
      <w:r w:rsidRPr="002027CA">
        <w:rPr>
          <w:b/>
        </w:rPr>
        <w:t>I</w:t>
      </w:r>
      <w:r>
        <w:rPr>
          <w:b/>
        </w:rPr>
        <w:t>V</w:t>
      </w:r>
      <w:r w:rsidRPr="002027CA">
        <w:rPr>
          <w:b/>
        </w:rPr>
        <w:t>.</w:t>
      </w:r>
    </w:p>
    <w:p w:rsidR="00BD38A7" w:rsidRDefault="00BD38A7" w:rsidP="00BD38A7">
      <w:pPr>
        <w:jc w:val="both"/>
      </w:pPr>
      <w:r>
        <w:t>Slijedom mišljenja javnopravnih tijela, iz točke III. Ove Odluke, vidljivo je da Strateški razvojni program neće imati značajan utjecaj na okoliš.</w:t>
      </w:r>
    </w:p>
    <w:p w:rsidR="00BD38A7" w:rsidRPr="002027CA" w:rsidRDefault="00BD38A7" w:rsidP="00BD38A7">
      <w:pPr>
        <w:jc w:val="center"/>
        <w:rPr>
          <w:b/>
        </w:rPr>
      </w:pPr>
      <w:r>
        <w:rPr>
          <w:b/>
        </w:rPr>
        <w:t>V</w:t>
      </w:r>
      <w:r w:rsidRPr="002027CA">
        <w:rPr>
          <w:b/>
        </w:rPr>
        <w:t>.</w:t>
      </w:r>
    </w:p>
    <w:p w:rsidR="00BD38A7" w:rsidRDefault="00BD38A7" w:rsidP="00BD38A7">
      <w:pPr>
        <w:jc w:val="both"/>
      </w:pPr>
      <w:r>
        <w:t>Jedinstveni upravni odjel Općine Dekanovec informirat će javnost o ovoj Odluci sukladno odredbama Zakona o zaštiti  okoliša (NN 80/13, 153/13, 78/15, 12/18 i 118/18) i odredbama Uredbe o informiranju i sudjelovanju javnosti u pitanjima zaštite okoliša („Narodne novine“ br. 64/08) .</w:t>
      </w:r>
    </w:p>
    <w:p w:rsidR="00BD38A7" w:rsidRPr="00F95E05" w:rsidRDefault="00BD38A7" w:rsidP="00BD38A7">
      <w:pPr>
        <w:jc w:val="center"/>
        <w:rPr>
          <w:b/>
        </w:rPr>
      </w:pPr>
      <w:r w:rsidRPr="00F95E05">
        <w:rPr>
          <w:b/>
        </w:rPr>
        <w:t>V</w:t>
      </w:r>
      <w:r>
        <w:rPr>
          <w:b/>
        </w:rPr>
        <w:t>I</w:t>
      </w:r>
      <w:r w:rsidRPr="00F95E05">
        <w:rPr>
          <w:b/>
        </w:rPr>
        <w:t xml:space="preserve">. </w:t>
      </w:r>
    </w:p>
    <w:p w:rsidR="00BD38A7" w:rsidRPr="00A22377" w:rsidRDefault="00BD38A7" w:rsidP="00BD38A7">
      <w:pPr>
        <w:jc w:val="both"/>
      </w:pPr>
      <w:r>
        <w:t>Ova Odluka stupa na snagu danom donošenja, a objavit će se na službenoj internetskoj stranici Općine Dekanovec.</w:t>
      </w:r>
    </w:p>
    <w:p w:rsidR="00BD38A7" w:rsidRPr="00A22377" w:rsidRDefault="00BD38A7" w:rsidP="00BD38A7">
      <w:r w:rsidRPr="00A22377">
        <w:t>KLASA: 351</w:t>
      </w:r>
      <w:r>
        <w:t>-03/19-01/01</w:t>
      </w:r>
    </w:p>
    <w:p w:rsidR="00BD38A7" w:rsidRPr="00A22377" w:rsidRDefault="00BD38A7" w:rsidP="00BD38A7">
      <w:r w:rsidRPr="00A22377">
        <w:t>URBROJ:</w:t>
      </w:r>
      <w:r>
        <w:t xml:space="preserve"> 2109/20-03-19-10</w:t>
      </w:r>
    </w:p>
    <w:p w:rsidR="00BD38A7" w:rsidRPr="00A22377" w:rsidRDefault="00BD38A7" w:rsidP="00BD38A7">
      <w:r>
        <w:t>Dekanovec</w:t>
      </w:r>
      <w:r w:rsidRPr="00A22377">
        <w:t xml:space="preserve">, </w:t>
      </w:r>
      <w:r>
        <w:t>11</w:t>
      </w:r>
      <w:r w:rsidRPr="00A22377">
        <w:t xml:space="preserve">. </w:t>
      </w:r>
      <w:r>
        <w:t>lipnja</w:t>
      </w:r>
      <w:r w:rsidRPr="00A22377">
        <w:t xml:space="preserve"> 201</w:t>
      </w:r>
      <w:r>
        <w:t>9</w:t>
      </w:r>
      <w:r w:rsidRPr="00A22377">
        <w:t>.</w:t>
      </w:r>
    </w:p>
    <w:p w:rsidR="00BD38A7" w:rsidRDefault="00BD38A7" w:rsidP="00BD38A7"/>
    <w:p w:rsidR="00BD38A7" w:rsidRDefault="00BD38A7" w:rsidP="00BD38A7"/>
    <w:p w:rsidR="00BD38A7" w:rsidRDefault="00BD38A7" w:rsidP="00BD38A7">
      <w:pPr>
        <w:jc w:val="right"/>
      </w:pPr>
      <w:r>
        <w:t>Načelnik Općine Dekanovec</w:t>
      </w:r>
    </w:p>
    <w:p w:rsidR="00BD38A7" w:rsidRDefault="00BD38A7" w:rsidP="00BD38A7">
      <w:pPr>
        <w:jc w:val="center"/>
      </w:pPr>
      <w:r>
        <w:t xml:space="preserve">                                                                                                                                    Ivan </w:t>
      </w:r>
      <w:proofErr w:type="spellStart"/>
      <w:r>
        <w:t>Hajdarović</w:t>
      </w:r>
      <w:proofErr w:type="spellEnd"/>
    </w:p>
    <w:p w:rsidR="00BD38A7" w:rsidRDefault="00BD38A7" w:rsidP="00BD38A7">
      <w:pPr>
        <w:jc w:val="right"/>
      </w:pPr>
    </w:p>
    <w:p w:rsidR="00BD38A7" w:rsidRDefault="00BD38A7" w:rsidP="00BD38A7">
      <w:pPr>
        <w:jc w:val="right"/>
      </w:pPr>
    </w:p>
    <w:p w:rsidR="00BD38A7" w:rsidRDefault="00BD38A7" w:rsidP="00BD38A7">
      <w:pPr>
        <w:jc w:val="right"/>
      </w:pPr>
    </w:p>
    <w:p w:rsidR="00BD38A7" w:rsidRDefault="00BD38A7" w:rsidP="00BD38A7">
      <w:pPr>
        <w:jc w:val="right"/>
      </w:pPr>
    </w:p>
    <w:p w:rsidR="00BD38A7" w:rsidRDefault="00BD38A7" w:rsidP="00BD38A7">
      <w:pPr>
        <w:jc w:val="right"/>
      </w:pPr>
    </w:p>
    <w:p w:rsidR="00BD38A7" w:rsidRDefault="00BD38A7" w:rsidP="00BD38A7">
      <w:pPr>
        <w:jc w:val="right"/>
      </w:pPr>
    </w:p>
    <w:p w:rsidR="00F37601" w:rsidRDefault="00F37601" w:rsidP="00F95E05">
      <w:pPr>
        <w:jc w:val="right"/>
      </w:pPr>
    </w:p>
    <w:p w:rsidR="00F37601" w:rsidRDefault="00F37601" w:rsidP="00F95E05">
      <w:pPr>
        <w:jc w:val="right"/>
      </w:pPr>
    </w:p>
    <w:sectPr w:rsidR="00F37601" w:rsidSect="003E0E69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E28"/>
    <w:multiLevelType w:val="hybridMultilevel"/>
    <w:tmpl w:val="1478B472"/>
    <w:lvl w:ilvl="0" w:tplc="E7649CE2">
      <w:start w:val="1"/>
      <w:numFmt w:val="decimal"/>
      <w:lvlText w:val="%1."/>
      <w:lvlJc w:val="left"/>
      <w:pPr>
        <w:ind w:left="467" w:hanging="220"/>
        <w:jc w:val="left"/>
      </w:pPr>
      <w:rPr>
        <w:rFonts w:ascii="Calibri" w:eastAsia="Calibri" w:hAnsi="Calibri" w:cs="Calibri" w:hint="default"/>
        <w:b/>
        <w:bCs/>
        <w:i/>
        <w:w w:val="99"/>
        <w:sz w:val="22"/>
        <w:szCs w:val="22"/>
      </w:rPr>
    </w:lvl>
    <w:lvl w:ilvl="1" w:tplc="37481208">
      <w:start w:val="1"/>
      <w:numFmt w:val="upperLetter"/>
      <w:lvlText w:val="%2."/>
      <w:lvlJc w:val="left"/>
      <w:pPr>
        <w:ind w:left="968" w:hanging="36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2" w:tplc="04A6A28A">
      <w:start w:val="1"/>
      <w:numFmt w:val="decimal"/>
      <w:lvlText w:val="%3."/>
      <w:lvlJc w:val="left"/>
      <w:pPr>
        <w:ind w:left="968" w:hanging="29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3" w:tplc="1FDA6C96">
      <w:numFmt w:val="bullet"/>
      <w:lvlText w:val="•"/>
      <w:lvlJc w:val="left"/>
      <w:pPr>
        <w:ind w:left="2130" w:hanging="294"/>
      </w:pPr>
      <w:rPr>
        <w:rFonts w:hint="default"/>
      </w:rPr>
    </w:lvl>
    <w:lvl w:ilvl="4" w:tplc="3A762EB4">
      <w:numFmt w:val="bullet"/>
      <w:lvlText w:val="•"/>
      <w:lvlJc w:val="left"/>
      <w:pPr>
        <w:ind w:left="3301" w:hanging="294"/>
      </w:pPr>
      <w:rPr>
        <w:rFonts w:hint="default"/>
      </w:rPr>
    </w:lvl>
    <w:lvl w:ilvl="5" w:tplc="0AFCD6A0">
      <w:numFmt w:val="bullet"/>
      <w:lvlText w:val="•"/>
      <w:lvlJc w:val="left"/>
      <w:pPr>
        <w:ind w:left="4472" w:hanging="294"/>
      </w:pPr>
      <w:rPr>
        <w:rFonts w:hint="default"/>
      </w:rPr>
    </w:lvl>
    <w:lvl w:ilvl="6" w:tplc="43581604">
      <w:numFmt w:val="bullet"/>
      <w:lvlText w:val="•"/>
      <w:lvlJc w:val="left"/>
      <w:pPr>
        <w:ind w:left="5643" w:hanging="294"/>
      </w:pPr>
      <w:rPr>
        <w:rFonts w:hint="default"/>
      </w:rPr>
    </w:lvl>
    <w:lvl w:ilvl="7" w:tplc="F55454BE">
      <w:numFmt w:val="bullet"/>
      <w:lvlText w:val="•"/>
      <w:lvlJc w:val="left"/>
      <w:pPr>
        <w:ind w:left="6814" w:hanging="294"/>
      </w:pPr>
      <w:rPr>
        <w:rFonts w:hint="default"/>
      </w:rPr>
    </w:lvl>
    <w:lvl w:ilvl="8" w:tplc="657242CC">
      <w:numFmt w:val="bullet"/>
      <w:lvlText w:val="•"/>
      <w:lvlJc w:val="left"/>
      <w:pPr>
        <w:ind w:left="7985" w:hanging="294"/>
      </w:pPr>
      <w:rPr>
        <w:rFonts w:hint="default"/>
      </w:rPr>
    </w:lvl>
  </w:abstractNum>
  <w:abstractNum w:abstractNumId="1" w15:restartNumberingAfterBreak="0">
    <w:nsid w:val="0CDB71BE"/>
    <w:multiLevelType w:val="hybridMultilevel"/>
    <w:tmpl w:val="4C363ADC"/>
    <w:lvl w:ilvl="0" w:tplc="F1586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0553"/>
    <w:multiLevelType w:val="hybridMultilevel"/>
    <w:tmpl w:val="E868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04DD7"/>
    <w:multiLevelType w:val="hybridMultilevel"/>
    <w:tmpl w:val="CF22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5AC7"/>
    <w:multiLevelType w:val="hybridMultilevel"/>
    <w:tmpl w:val="83F6F1DE"/>
    <w:lvl w:ilvl="0" w:tplc="041A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468C2D58"/>
    <w:multiLevelType w:val="hybridMultilevel"/>
    <w:tmpl w:val="A53222B0"/>
    <w:lvl w:ilvl="0" w:tplc="3ED2548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43004"/>
    <w:multiLevelType w:val="hybridMultilevel"/>
    <w:tmpl w:val="ACC4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1F"/>
    <w:multiLevelType w:val="hybridMultilevel"/>
    <w:tmpl w:val="3F7ABCAA"/>
    <w:lvl w:ilvl="0" w:tplc="5E0442B0">
      <w:start w:val="1"/>
      <w:numFmt w:val="decimal"/>
      <w:lvlText w:val="%1."/>
      <w:lvlJc w:val="left"/>
      <w:pPr>
        <w:ind w:left="968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BDE0C352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B3B0EF32">
      <w:numFmt w:val="bullet"/>
      <w:lvlText w:val="•"/>
      <w:lvlJc w:val="left"/>
      <w:pPr>
        <w:ind w:left="2833" w:hanging="360"/>
      </w:pPr>
      <w:rPr>
        <w:rFonts w:hint="default"/>
      </w:rPr>
    </w:lvl>
    <w:lvl w:ilvl="3" w:tplc="D54E9742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530E9CE6">
      <w:numFmt w:val="bullet"/>
      <w:lvlText w:val="•"/>
      <w:lvlJc w:val="left"/>
      <w:pPr>
        <w:ind w:left="4707" w:hanging="360"/>
      </w:pPr>
      <w:rPr>
        <w:rFonts w:hint="default"/>
      </w:rPr>
    </w:lvl>
    <w:lvl w:ilvl="5" w:tplc="9C586312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0B588C36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8122846E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E55216DA">
      <w:numFmt w:val="bullet"/>
      <w:lvlText w:val="•"/>
      <w:lvlJc w:val="left"/>
      <w:pPr>
        <w:ind w:left="8454" w:hanging="360"/>
      </w:pPr>
      <w:rPr>
        <w:rFonts w:hint="default"/>
      </w:rPr>
    </w:lvl>
  </w:abstractNum>
  <w:abstractNum w:abstractNumId="8" w15:restartNumberingAfterBreak="0">
    <w:nsid w:val="61A66B19"/>
    <w:multiLevelType w:val="hybridMultilevel"/>
    <w:tmpl w:val="FFD8D042"/>
    <w:lvl w:ilvl="0" w:tplc="3ED2548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EC5703"/>
    <w:multiLevelType w:val="hybridMultilevel"/>
    <w:tmpl w:val="93B6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CC"/>
    <w:rsid w:val="0009214C"/>
    <w:rsid w:val="001C73C6"/>
    <w:rsid w:val="001E6585"/>
    <w:rsid w:val="002027CA"/>
    <w:rsid w:val="002A6F5A"/>
    <w:rsid w:val="002B4B11"/>
    <w:rsid w:val="002D48CC"/>
    <w:rsid w:val="003033E9"/>
    <w:rsid w:val="00320BE5"/>
    <w:rsid w:val="00337793"/>
    <w:rsid w:val="00370EBD"/>
    <w:rsid w:val="003E0E69"/>
    <w:rsid w:val="004240D7"/>
    <w:rsid w:val="0058573A"/>
    <w:rsid w:val="005B0F75"/>
    <w:rsid w:val="00614A78"/>
    <w:rsid w:val="006847A6"/>
    <w:rsid w:val="006A0875"/>
    <w:rsid w:val="00795BE1"/>
    <w:rsid w:val="007E0A94"/>
    <w:rsid w:val="008B155F"/>
    <w:rsid w:val="008B31EA"/>
    <w:rsid w:val="008C70C9"/>
    <w:rsid w:val="008E10E5"/>
    <w:rsid w:val="008F1EF9"/>
    <w:rsid w:val="00977971"/>
    <w:rsid w:val="009D2F81"/>
    <w:rsid w:val="00A22377"/>
    <w:rsid w:val="00A532B9"/>
    <w:rsid w:val="00A713D8"/>
    <w:rsid w:val="00BD38A7"/>
    <w:rsid w:val="00BF1482"/>
    <w:rsid w:val="00D52AD0"/>
    <w:rsid w:val="00D63960"/>
    <w:rsid w:val="00D9754E"/>
    <w:rsid w:val="00E424E2"/>
    <w:rsid w:val="00E808F2"/>
    <w:rsid w:val="00F37601"/>
    <w:rsid w:val="00F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7017B-4862-4BB5-B2DD-8D29BA42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1C73C6"/>
    <w:pPr>
      <w:widowControl w:val="0"/>
      <w:autoSpaceDE w:val="0"/>
      <w:autoSpaceDN w:val="0"/>
      <w:spacing w:after="0" w:line="240" w:lineRule="auto"/>
      <w:ind w:left="248"/>
      <w:outlineLvl w:val="3"/>
    </w:pPr>
    <w:rPr>
      <w:rFonts w:ascii="Calibri" w:eastAsia="Calibri" w:hAnsi="Calibri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1C73C6"/>
    <w:pPr>
      <w:widowControl w:val="0"/>
      <w:autoSpaceDE w:val="0"/>
      <w:autoSpaceDN w:val="0"/>
      <w:spacing w:before="160" w:after="0" w:line="240" w:lineRule="auto"/>
      <w:ind w:left="1862"/>
      <w:jc w:val="center"/>
      <w:outlineLvl w:val="5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05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1C73C6"/>
    <w:rPr>
      <w:rFonts w:ascii="Calibri" w:eastAsia="Calibri" w:hAnsi="Calibri" w:cs="Times New Roman"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1"/>
    <w:rsid w:val="001C73C6"/>
    <w:rPr>
      <w:rFonts w:ascii="Calibri" w:eastAsia="Calibri" w:hAnsi="Calibri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1C73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C73C6"/>
    <w:rPr>
      <w:rFonts w:ascii="Calibri" w:eastAsia="Calibri" w:hAnsi="Calibri" w:cs="Times New Roman"/>
      <w:lang w:val="hr-HR"/>
    </w:rPr>
  </w:style>
  <w:style w:type="paragraph" w:customStyle="1" w:styleId="TableParagraph">
    <w:name w:val="Table Paragraph"/>
    <w:basedOn w:val="Normal"/>
    <w:uiPriority w:val="1"/>
    <w:qFormat/>
    <w:rsid w:val="001C73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1C7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3C6"/>
    <w:rPr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3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2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2377"/>
    <w:rPr>
      <w:sz w:val="16"/>
      <w:szCs w:val="16"/>
      <w:lang w:val="hr-HR"/>
    </w:rPr>
  </w:style>
  <w:style w:type="table" w:styleId="TableGrid">
    <w:name w:val="Table Grid"/>
    <w:basedOn w:val="TableNormal"/>
    <w:uiPriority w:val="39"/>
    <w:rsid w:val="003E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8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Algebra d.o.o.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Novaković</dc:creator>
  <cp:keywords/>
  <dc:description/>
  <cp:lastModifiedBy>Općina Dekanovec</cp:lastModifiedBy>
  <cp:revision>20</cp:revision>
  <cp:lastPrinted>2019-06-12T13:11:00Z</cp:lastPrinted>
  <dcterms:created xsi:type="dcterms:W3CDTF">2019-04-12T10:07:00Z</dcterms:created>
  <dcterms:modified xsi:type="dcterms:W3CDTF">2019-06-19T06:54:00Z</dcterms:modified>
</cp:coreProperties>
</file>